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C6" w:rsidRPr="004C0BC6" w:rsidRDefault="004C0BC6" w:rsidP="004C0BC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i w:val="0"/>
          <w:color w:val="001D35"/>
          <w:sz w:val="27"/>
          <w:szCs w:val="27"/>
          <w:lang w:eastAsia="en-CA"/>
        </w:rPr>
      </w:pPr>
      <w:r w:rsidRPr="004C0BC6">
        <w:rPr>
          <w:rFonts w:ascii="Arial" w:eastAsia="Times New Roman" w:hAnsi="Arial" w:cs="Arial"/>
          <w:b/>
          <w:i w:val="0"/>
          <w:color w:val="001D35"/>
          <w:sz w:val="27"/>
          <w:szCs w:val="27"/>
          <w:lang w:eastAsia="en-CA"/>
        </w:rPr>
        <w:t>Records Retention - BC</w:t>
      </w:r>
    </w:p>
    <w:p w:rsidR="004C0BC6" w:rsidRDefault="004C0BC6" w:rsidP="004C0BC6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color w:val="001D35"/>
          <w:sz w:val="27"/>
          <w:szCs w:val="27"/>
          <w:lang w:eastAsia="en-CA"/>
        </w:rPr>
      </w:pPr>
    </w:p>
    <w:p w:rsidR="004C0BC6" w:rsidRDefault="004C0BC6" w:rsidP="004C0BC6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color w:val="001D35"/>
          <w:sz w:val="27"/>
          <w:szCs w:val="27"/>
          <w:lang w:eastAsia="en-CA"/>
        </w:rPr>
      </w:pPr>
      <w:r w:rsidRPr="004C0BC6">
        <w:rPr>
          <w:rFonts w:ascii="Arial" w:eastAsia="Times New Roman" w:hAnsi="Arial" w:cs="Arial"/>
          <w:b/>
          <w:i w:val="0"/>
          <w:color w:val="001D35"/>
          <w:sz w:val="27"/>
          <w:szCs w:val="27"/>
          <w:lang w:eastAsia="en-CA"/>
        </w:rPr>
        <w:t>Companies in BC must maintain a records retention schedule, typically keeping most records, especially tax and financial documents, for at least six years from the end of the relevant tax year</w:t>
      </w:r>
      <w:r>
        <w:rPr>
          <w:rFonts w:ascii="Arial" w:eastAsia="Times New Roman" w:hAnsi="Arial" w:cs="Arial"/>
          <w:i w:val="0"/>
          <w:color w:val="001D35"/>
          <w:sz w:val="27"/>
          <w:szCs w:val="27"/>
          <w:lang w:eastAsia="en-CA"/>
        </w:rPr>
        <w:t>.</w:t>
      </w:r>
    </w:p>
    <w:p w:rsidR="004C0BC6" w:rsidRPr="004C0BC6" w:rsidRDefault="004C0BC6" w:rsidP="004C0BC6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color w:val="001D35"/>
          <w:sz w:val="27"/>
          <w:szCs w:val="27"/>
          <w:lang w:eastAsia="en-CA"/>
        </w:rPr>
      </w:pPr>
      <w:r w:rsidRPr="004C0BC6">
        <w:rPr>
          <w:rFonts w:ascii="Arial" w:eastAsia="Times New Roman" w:hAnsi="Arial" w:cs="Arial"/>
          <w:i w:val="0"/>
          <w:color w:val="001D35"/>
          <w:sz w:val="27"/>
          <w:szCs w:val="27"/>
          <w:lang w:eastAsia="en-CA"/>
        </w:rPr>
        <w:t>Specific types of records may have different requirements, such as employment records needing at least 36 months after employment ends, while some construction-related safety records may require retention for 10 years. </w:t>
      </w:r>
    </w:p>
    <w:p w:rsidR="004C0BC6" w:rsidRPr="004C0BC6" w:rsidRDefault="004C0BC6" w:rsidP="004C0BC6">
      <w:pPr>
        <w:shd w:val="clear" w:color="auto" w:fill="FFFFFF"/>
        <w:spacing w:after="150" w:line="390" w:lineRule="atLeast"/>
        <w:rPr>
          <w:rFonts w:ascii="Arial" w:eastAsia="Times New Roman" w:hAnsi="Arial" w:cs="Arial"/>
          <w:i w:val="0"/>
          <w:color w:val="001D35"/>
          <w:sz w:val="27"/>
          <w:szCs w:val="27"/>
          <w:lang w:eastAsia="en-CA"/>
        </w:rPr>
      </w:pPr>
      <w:r w:rsidRPr="004C0BC6">
        <w:rPr>
          <w:rFonts w:ascii="Arial" w:eastAsia="Times New Roman" w:hAnsi="Arial" w:cs="Arial"/>
          <w:i w:val="0"/>
          <w:color w:val="001D35"/>
          <w:sz w:val="27"/>
          <w:szCs w:val="27"/>
          <w:lang w:eastAsia="en-CA"/>
        </w:rPr>
        <w:t>General Retention Period (Tax &amp; Financial) </w:t>
      </w:r>
    </w:p>
    <w:p w:rsidR="004C0BC6" w:rsidRPr="00E53FD1" w:rsidRDefault="004C0BC6" w:rsidP="004C0BC6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i w:val="0"/>
          <w:lang w:eastAsia="en-CA"/>
        </w:rPr>
      </w:pPr>
      <w:r w:rsidRPr="004C0BC6">
        <w:rPr>
          <w:rFonts w:ascii="Arial" w:eastAsia="Times New Roman" w:hAnsi="Arial" w:cs="Arial"/>
          <w:b/>
          <w:bCs/>
          <w:i w:val="0"/>
          <w:color w:val="001D35"/>
          <w:lang w:eastAsia="en-CA"/>
        </w:rPr>
        <w:t>Six Years:</w:t>
      </w:r>
      <w:r w:rsidRPr="004C0BC6">
        <w:rPr>
          <w:rFonts w:ascii="Arial" w:eastAsia="Times New Roman" w:hAnsi="Arial" w:cs="Arial"/>
          <w:i w:val="0"/>
          <w:color w:val="001D35"/>
          <w:lang w:eastAsia="en-CA"/>
        </w:rPr>
        <w:t> The most common requirement for businesses is to keep records and supporting documents for six years from the end of the tax year to which they relate, per the CRA.</w:t>
      </w:r>
    </w:p>
    <w:p w:rsidR="00E53FD1" w:rsidRPr="004C0BC6" w:rsidRDefault="00E53FD1" w:rsidP="00E53FD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 w:val="0"/>
          <w:lang w:eastAsia="en-CA"/>
        </w:rPr>
      </w:pPr>
    </w:p>
    <w:p w:rsidR="004C0BC6" w:rsidRPr="004C0BC6" w:rsidRDefault="004C0BC6" w:rsidP="004C0BC6">
      <w:pPr>
        <w:numPr>
          <w:ilvl w:val="0"/>
          <w:numId w:val="2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i w:val="0"/>
          <w:color w:val="001D35"/>
          <w:lang w:eastAsia="en-CA"/>
        </w:rPr>
      </w:pPr>
      <w:r w:rsidRPr="004C0BC6">
        <w:rPr>
          <w:rFonts w:ascii="Arial" w:eastAsia="Times New Roman" w:hAnsi="Arial" w:cs="Arial"/>
          <w:b/>
          <w:bCs/>
          <w:i w:val="0"/>
          <w:color w:val="001D35"/>
          <w:lang w:eastAsia="en-CA"/>
        </w:rPr>
        <w:t>Employment &amp; Payroll Records:</w:t>
      </w:r>
    </w:p>
    <w:p w:rsidR="004C0BC6" w:rsidRPr="004C0BC6" w:rsidRDefault="004C0BC6" w:rsidP="004C0BC6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i w:val="0"/>
          <w:color w:val="545D7E"/>
          <w:spacing w:val="2"/>
          <w:lang w:eastAsia="en-CA"/>
        </w:rPr>
      </w:pPr>
      <w:r w:rsidRPr="004C0BC6">
        <w:rPr>
          <w:rFonts w:ascii="Arial" w:eastAsia="Times New Roman" w:hAnsi="Arial" w:cs="Arial"/>
          <w:i w:val="0"/>
          <w:color w:val="545D7E"/>
          <w:spacing w:val="2"/>
          <w:lang w:eastAsia="en-CA"/>
        </w:rPr>
        <w:t>These must be kept for at least 36 months after an employee's employment ends. </w:t>
      </w:r>
    </w:p>
    <w:p w:rsidR="004C0BC6" w:rsidRPr="004C0BC6" w:rsidRDefault="004C0BC6" w:rsidP="004C0BC6">
      <w:pPr>
        <w:numPr>
          <w:ilvl w:val="0"/>
          <w:numId w:val="2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i w:val="0"/>
          <w:color w:val="001D35"/>
          <w:lang w:eastAsia="en-CA"/>
        </w:rPr>
      </w:pPr>
      <w:r w:rsidRPr="004C0BC6">
        <w:rPr>
          <w:rFonts w:ascii="Arial" w:eastAsia="Times New Roman" w:hAnsi="Arial" w:cs="Arial"/>
          <w:b/>
          <w:bCs/>
          <w:i w:val="0"/>
          <w:color w:val="001D35"/>
          <w:lang w:eastAsia="en-CA"/>
        </w:rPr>
        <w:t>WorkSafeBC (OH</w:t>
      </w:r>
      <w:bookmarkStart w:id="0" w:name="_GoBack"/>
      <w:bookmarkEnd w:id="0"/>
      <w:r w:rsidRPr="004C0BC6">
        <w:rPr>
          <w:rFonts w:ascii="Arial" w:eastAsia="Times New Roman" w:hAnsi="Arial" w:cs="Arial"/>
          <w:b/>
          <w:bCs/>
          <w:i w:val="0"/>
          <w:color w:val="001D35"/>
          <w:lang w:eastAsia="en-CA"/>
        </w:rPr>
        <w:t>&amp;S):</w:t>
      </w:r>
    </w:p>
    <w:p w:rsidR="004C0BC6" w:rsidRPr="004C0BC6" w:rsidRDefault="004C0BC6" w:rsidP="004C0BC6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i w:val="0"/>
          <w:color w:val="545D7E"/>
          <w:spacing w:val="2"/>
          <w:lang w:eastAsia="en-CA"/>
        </w:rPr>
      </w:pPr>
      <w:r w:rsidRPr="004C0BC6">
        <w:rPr>
          <w:rFonts w:ascii="Arial" w:eastAsia="Times New Roman" w:hAnsi="Arial" w:cs="Arial"/>
          <w:i w:val="0"/>
          <w:color w:val="545D7E"/>
          <w:spacing w:val="2"/>
          <w:lang w:eastAsia="en-CA"/>
        </w:rPr>
        <w:t>For example, risk assessments, inspection results, and incident investigation reports related to hazardous drugs must be kept for 10 years. </w:t>
      </w:r>
    </w:p>
    <w:p w:rsidR="004C0BC6" w:rsidRPr="004C0BC6" w:rsidRDefault="004C0BC6" w:rsidP="004C0BC6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i w:val="0"/>
          <w:color w:val="545D7E"/>
          <w:spacing w:val="2"/>
          <w:lang w:eastAsia="en-CA"/>
        </w:rPr>
      </w:pPr>
      <w:r w:rsidRPr="004C0BC6">
        <w:rPr>
          <w:rFonts w:ascii="Arial" w:eastAsia="Times New Roman" w:hAnsi="Arial" w:cs="Arial"/>
          <w:i w:val="0"/>
          <w:color w:val="545D7E"/>
          <w:spacing w:val="2"/>
          <w:lang w:eastAsia="en-CA"/>
        </w:rPr>
        <w:t> </w:t>
      </w:r>
    </w:p>
    <w:p w:rsidR="004C0BC6" w:rsidRPr="004C0BC6" w:rsidRDefault="004C0BC6" w:rsidP="004C0BC6">
      <w:pPr>
        <w:numPr>
          <w:ilvl w:val="0"/>
          <w:numId w:val="2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i w:val="0"/>
          <w:lang w:eastAsia="en-CA"/>
        </w:rPr>
      </w:pPr>
      <w:hyperlink r:id="rId6" w:tgtFrame="_blank" w:history="1">
        <w:r w:rsidRPr="004C0BC6">
          <w:rPr>
            <w:rFonts w:ascii="Arial" w:eastAsia="Times New Roman" w:hAnsi="Arial" w:cs="Arial"/>
            <w:b/>
            <w:bCs/>
            <w:i w:val="0"/>
            <w:lang w:eastAsia="en-CA"/>
          </w:rPr>
          <w:t>Strata Records</w:t>
        </w:r>
      </w:hyperlink>
      <w:r w:rsidRPr="004C0BC6">
        <w:rPr>
          <w:rFonts w:ascii="Arial" w:eastAsia="Times New Roman" w:hAnsi="Arial" w:cs="Arial"/>
          <w:b/>
          <w:bCs/>
          <w:i w:val="0"/>
          <w:lang w:eastAsia="en-CA"/>
        </w:rPr>
        <w:t>:</w:t>
      </w:r>
    </w:p>
    <w:p w:rsidR="004C0BC6" w:rsidRPr="004C0BC6" w:rsidRDefault="004C0BC6" w:rsidP="004C0BC6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i w:val="0"/>
          <w:color w:val="545D7E"/>
          <w:spacing w:val="2"/>
          <w:lang w:eastAsia="en-CA"/>
        </w:rPr>
      </w:pPr>
      <w:r w:rsidRPr="004C0BC6">
        <w:rPr>
          <w:rFonts w:ascii="Arial" w:eastAsia="Times New Roman" w:hAnsi="Arial" w:cs="Arial"/>
          <w:i w:val="0"/>
          <w:color w:val="545D7E"/>
          <w:spacing w:val="2"/>
          <w:lang w:eastAsia="en-CA"/>
        </w:rPr>
        <w:t>Owner-developers must provide records to the strata corporation, which should then keep contracts and insurance policies for at least six years after they end. </w:t>
      </w:r>
    </w:p>
    <w:p w:rsidR="004C0BC6" w:rsidRPr="004C0BC6" w:rsidRDefault="004C0BC6" w:rsidP="004C0BC6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i w:val="0"/>
          <w:lang w:eastAsia="en-CA"/>
        </w:rPr>
      </w:pPr>
      <w:hyperlink r:id="rId7" w:tgtFrame="_blank" w:history="1">
        <w:r w:rsidRPr="004C0BC6">
          <w:rPr>
            <w:rFonts w:ascii="Arial" w:eastAsia="Times New Roman" w:hAnsi="Arial" w:cs="Arial"/>
            <w:b/>
            <w:bCs/>
            <w:i w:val="0"/>
            <w:lang w:eastAsia="en-CA"/>
          </w:rPr>
          <w:t>Law Society</w:t>
        </w:r>
      </w:hyperlink>
      <w:r w:rsidRPr="004C0BC6">
        <w:rPr>
          <w:rFonts w:ascii="Arial" w:eastAsia="Times New Roman" w:hAnsi="Arial" w:cs="Arial"/>
          <w:b/>
          <w:bCs/>
          <w:i w:val="0"/>
          <w:lang w:eastAsia="en-CA"/>
        </w:rPr>
        <w:t>:</w:t>
      </w:r>
    </w:p>
    <w:p w:rsidR="004C0BC6" w:rsidRPr="004C0BC6" w:rsidRDefault="004C0BC6" w:rsidP="004C0BC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 w:val="0"/>
          <w:color w:val="545D7E"/>
          <w:spacing w:val="2"/>
          <w:lang w:eastAsia="en-CA"/>
        </w:rPr>
      </w:pPr>
      <w:r w:rsidRPr="004C0BC6">
        <w:rPr>
          <w:rFonts w:ascii="Arial" w:eastAsia="Times New Roman" w:hAnsi="Arial" w:cs="Arial"/>
          <w:i w:val="0"/>
          <w:color w:val="545D7E"/>
          <w:spacing w:val="2"/>
          <w:lang w:eastAsia="en-CA"/>
        </w:rPr>
        <w:t>Lawyers and law firms have specific professional responsibilities to keep client records for a period required by Law Society Rule 3-107. </w:t>
      </w:r>
    </w:p>
    <w:p w:rsidR="004C0BC6" w:rsidRPr="004C0BC6" w:rsidRDefault="004C0BC6" w:rsidP="004C0BC6">
      <w:pPr>
        <w:shd w:val="clear" w:color="auto" w:fill="FFFFFF"/>
        <w:spacing w:after="120" w:line="330" w:lineRule="atLeast"/>
        <w:rPr>
          <w:rFonts w:ascii="Arial" w:eastAsia="Times New Roman" w:hAnsi="Arial" w:cs="Arial"/>
          <w:i w:val="0"/>
          <w:color w:val="001D35"/>
          <w:lang w:eastAsia="en-CA"/>
        </w:rPr>
      </w:pPr>
    </w:p>
    <w:p w:rsidR="004C0BC6" w:rsidRPr="004C0BC6" w:rsidRDefault="004C0BC6" w:rsidP="004C0BC6">
      <w:pPr>
        <w:numPr>
          <w:ilvl w:val="0"/>
          <w:numId w:val="3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i w:val="0"/>
          <w:color w:val="001D35"/>
          <w:lang w:eastAsia="en-CA"/>
        </w:rPr>
      </w:pPr>
      <w:r w:rsidRPr="004C0BC6">
        <w:rPr>
          <w:rFonts w:ascii="Arial" w:eastAsia="Times New Roman" w:hAnsi="Arial" w:cs="Arial"/>
          <w:b/>
          <w:bCs/>
          <w:i w:val="0"/>
          <w:color w:val="001D35"/>
          <w:lang w:eastAsia="en-CA"/>
        </w:rPr>
        <w:t>Legal &amp; Regulatory Requirements:</w:t>
      </w:r>
    </w:p>
    <w:p w:rsidR="004C0BC6" w:rsidRPr="004C0BC6" w:rsidRDefault="004C0BC6" w:rsidP="004C0BC6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i w:val="0"/>
          <w:color w:val="545D7E"/>
          <w:spacing w:val="2"/>
          <w:lang w:eastAsia="en-CA"/>
        </w:rPr>
      </w:pPr>
      <w:r w:rsidRPr="004C0BC6">
        <w:rPr>
          <w:rFonts w:ascii="Arial" w:eastAsia="Times New Roman" w:hAnsi="Arial" w:cs="Arial"/>
          <w:i w:val="0"/>
          <w:color w:val="545D7E"/>
          <w:spacing w:val="2"/>
          <w:lang w:eastAsia="en-CA"/>
        </w:rPr>
        <w:t>Your specific industry may have unique legal requirements beyond the general tax rule. </w:t>
      </w:r>
    </w:p>
    <w:p w:rsidR="004C0BC6" w:rsidRPr="004C0BC6" w:rsidRDefault="004C0BC6" w:rsidP="004C0BC6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i w:val="0"/>
          <w:color w:val="545D7E"/>
          <w:spacing w:val="2"/>
          <w:lang w:eastAsia="en-CA"/>
        </w:rPr>
      </w:pPr>
      <w:r w:rsidRPr="004C0BC6">
        <w:rPr>
          <w:rFonts w:ascii="Arial" w:eastAsia="Times New Roman" w:hAnsi="Arial" w:cs="Arial"/>
          <w:i w:val="0"/>
          <w:color w:val="545D7E"/>
          <w:spacing w:val="2"/>
          <w:lang w:eastAsia="en-CA"/>
        </w:rPr>
        <w:t>. </w:t>
      </w:r>
    </w:p>
    <w:p w:rsidR="004C0BC6" w:rsidRPr="004C0BC6" w:rsidRDefault="004C0BC6" w:rsidP="004C0BC6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i w:val="0"/>
          <w:color w:val="001D35"/>
          <w:lang w:eastAsia="en-CA"/>
        </w:rPr>
      </w:pPr>
    </w:p>
    <w:sectPr w:rsidR="004C0BC6" w:rsidRPr="004C0B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2412C"/>
    <w:multiLevelType w:val="multilevel"/>
    <w:tmpl w:val="CE7C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2013AD"/>
    <w:multiLevelType w:val="multilevel"/>
    <w:tmpl w:val="12A2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D8433A"/>
    <w:multiLevelType w:val="multilevel"/>
    <w:tmpl w:val="8676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C6"/>
    <w:rsid w:val="00314D73"/>
    <w:rsid w:val="00386702"/>
    <w:rsid w:val="004C0BC6"/>
    <w:rsid w:val="00D24E4B"/>
    <w:rsid w:val="00E5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ajorBidi"/>
        <w:i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ajorBidi"/>
        <w:i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0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194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9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788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12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6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3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1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00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2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54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96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15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0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0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5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986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64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20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9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4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4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67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71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7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83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03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44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67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sca_esv=e7bf22627bcd1c5c&amp;cs=0&amp;q=Law+Society&amp;sa=X&amp;ved=2ahUKEwin1N77jsyPAxURETQIHfiUEqYQxccNegQIHBAB&amp;mstk=AUtExfCKY3GHd76djrOVRhELdoLXhTNKwPVVovzbzvuIt3xrMsIxJCBb8-ZxXKwiDCXDXXC-JXE4QSq11tkZsSs6TitMJo5i4pRrv2SevQrlY93a37ZCl-d3lgComy2iT966fYc&amp;csui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sca_esv=e7bf22627bcd1c5c&amp;cs=0&amp;q=Strata+Records&amp;sa=X&amp;ved=2ahUKEwin1N77jsyPAxURETQIHfiUEqYQxccNegQIHRAB&amp;mstk=AUtExfCKY3GHd76djrOVRhELdoLXhTNKwPVVovzbzvuIt3xrMsIxJCBb8-ZxXKwiDCXDXXC-JXE4QSq11tkZsSs6TitMJo5i4pRrv2SevQrlY93a37ZCl-d3lgComy2iT966fYc&amp;csui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LaVern</dc:creator>
  <cp:lastModifiedBy>LaVern</cp:lastModifiedBy>
  <cp:revision>2</cp:revision>
  <dcterms:created xsi:type="dcterms:W3CDTF">2025-09-09T16:52:00Z</dcterms:created>
  <dcterms:modified xsi:type="dcterms:W3CDTF">2025-09-09T17:00:00Z</dcterms:modified>
</cp:coreProperties>
</file>